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widowControl w:val="1"/>
        <w:spacing w:line="300" w:lineRule="auto"/>
        <w:jc w:val="center"/>
        <w:rPr>
          <w:rFonts w:ascii="宋体" w:cs="宋体" w:hAnsi="宋体" w:eastAsia="宋体"/>
          <w:b w:val="1"/>
          <w:bCs w:val="1"/>
          <w:sz w:val="36"/>
          <w:szCs w:val="36"/>
        </w:rPr>
      </w:pPr>
    </w:p>
    <w:p>
      <w:pPr>
        <w:pStyle w:val="Normal.0"/>
        <w:widowControl w:val="1"/>
        <w:spacing w:line="300" w:lineRule="auto"/>
        <w:jc w:val="center"/>
        <w:rPr>
          <w:rFonts w:ascii="宋体" w:cs="宋体" w:hAnsi="宋体" w:eastAsia="宋体"/>
          <w:b w:val="1"/>
          <w:bCs w:val="1"/>
          <w:sz w:val="36"/>
          <w:szCs w:val="36"/>
          <w:lang w:val="zh-TW" w:eastAsia="zh-TW"/>
        </w:rPr>
      </w:pPr>
      <w:r>
        <w:rPr>
          <w:rFonts w:ascii="宋体" w:cs="宋体" w:hAnsi="宋体" w:eastAsia="宋体"/>
          <w:sz w:val="36"/>
          <w:szCs w:val="36"/>
          <w:rtl w:val="0"/>
          <w:lang w:val="zh-CN" w:eastAsia="zh-CN"/>
        </w:rPr>
        <w:t>第二届</w:t>
      </w: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国家传播学高层论坛</w:t>
      </w:r>
    </w:p>
    <w:p>
      <w:pPr>
        <w:pStyle w:val="Normal.0"/>
        <w:widowControl w:val="1"/>
        <w:spacing w:line="300" w:lineRule="auto"/>
        <w:jc w:val="center"/>
        <w:rPr>
          <w:rFonts w:ascii="宋体" w:cs="宋体" w:hAnsi="宋体" w:eastAsia="宋体"/>
          <w:b w:val="1"/>
          <w:bCs w:val="1"/>
          <w:sz w:val="32"/>
          <w:szCs w:val="32"/>
          <w:lang w:val="zh-TW" w:eastAsia="zh-TW"/>
        </w:rPr>
      </w:pPr>
      <w:r>
        <w:rPr>
          <w:rFonts w:ascii="宋体" w:cs="宋体" w:hAnsi="宋体" w:eastAsia="宋体"/>
          <w:sz w:val="36"/>
          <w:szCs w:val="36"/>
          <w:rtl w:val="0"/>
          <w:lang w:val="zh-CN" w:eastAsia="zh-CN"/>
        </w:rPr>
        <w:t>参会登记</w:t>
      </w:r>
    </w:p>
    <w:p>
      <w:pPr>
        <w:pStyle w:val="Normal.0"/>
        <w:widowControl w:val="1"/>
        <w:spacing w:line="300" w:lineRule="auto"/>
        <w:jc w:val="center"/>
        <w:rPr>
          <w:rFonts w:ascii="宋体" w:cs="宋体" w:hAnsi="宋体" w:eastAsia="宋体"/>
          <w:b w:val="1"/>
          <w:bCs w:val="1"/>
          <w:kern w:val="0"/>
          <w:sz w:val="24"/>
          <w:szCs w:val="24"/>
        </w:rPr>
      </w:pPr>
    </w:p>
    <w:tbl>
      <w:tblPr>
        <w:tblW w:w="85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1556"/>
        <w:gridCol w:w="708"/>
        <w:gridCol w:w="615"/>
        <w:gridCol w:w="1440"/>
        <w:gridCol w:w="2394"/>
      </w:tblGrid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1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职务</w:t>
            </w: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职称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工作单位</w:t>
            </w:r>
          </w:p>
        </w:tc>
        <w:tc>
          <w:tcPr>
            <w:tcW w:type="dxa" w:w="67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电子邮箱</w:t>
            </w:r>
          </w:p>
        </w:tc>
        <w:tc>
          <w:tcPr>
            <w:tcW w:type="dxa" w:w="28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  <w:ind w:left="120" w:firstLine="120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电  话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CN" w:eastAsia="zh-CN"/>
              </w:rPr>
              <w:t>预计</w:t>
            </w: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往返日程</w:t>
            </w:r>
          </w:p>
        </w:tc>
        <w:tc>
          <w:tcPr>
            <w:tcW w:type="dxa" w:w="67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8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住宿</w:t>
            </w: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CN" w:eastAsia="zh-CN"/>
              </w:rPr>
              <w:t>要求</w:t>
            </w:r>
          </w:p>
        </w:tc>
        <w:tc>
          <w:tcPr>
            <w:tcW w:type="dxa" w:w="67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00" w:lineRule="auto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备注</w:t>
            </w:r>
          </w:p>
        </w:tc>
        <w:tc>
          <w:tcPr>
            <w:tcW w:type="dxa" w:w="67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jc w:val="center"/>
        <w:rPr>
          <w:rFonts w:ascii="宋体" w:cs="宋体" w:hAnsi="宋体" w:eastAsia="宋体"/>
          <w:b w:val="1"/>
          <w:bCs w:val="1"/>
          <w:kern w:val="0"/>
          <w:sz w:val="24"/>
          <w:szCs w:val="24"/>
        </w:rPr>
      </w:pPr>
    </w:p>
    <w:p>
      <w:pPr>
        <w:pStyle w:val="Default"/>
        <w:spacing w:line="300" w:lineRule="auto"/>
        <w:ind w:firstLine="600"/>
      </w:pPr>
      <w:r>
        <w:rPr>
          <w:rFonts w:ascii="宋体" w:cs="宋体" w:hAnsi="宋体" w:eastAsia="宋体"/>
          <w:color w:val="ff0000"/>
          <w:u w:color="ff0000"/>
          <w:rtl w:val="0"/>
          <w:lang w:val="zh-TW" w:eastAsia="zh-TW"/>
        </w:rPr>
        <w:t>请于</w:t>
      </w:r>
      <w:r>
        <w:rPr>
          <w:rFonts w:ascii="Times New Roman" w:hAnsi="Times New Roman"/>
          <w:color w:val="ff0000"/>
          <w:u w:color="ff0000"/>
          <w:rtl w:val="0"/>
          <w:lang w:val="en-US"/>
        </w:rPr>
        <w:t>201</w:t>
      </w:r>
      <w:r>
        <w:rPr>
          <w:rFonts w:ascii="Times New Roman" w:hAnsi="Times New Roman"/>
          <w:color w:val="ff0000"/>
          <w:u w:color="ff0000"/>
          <w:rtl w:val="0"/>
          <w:lang w:val="zh-CN" w:eastAsia="zh-CN"/>
        </w:rPr>
        <w:t>7</w:t>
      </w:r>
      <w:r>
        <w:rPr>
          <w:rFonts w:ascii="宋体" w:cs="宋体" w:hAnsi="宋体" w:eastAsia="宋体"/>
          <w:color w:val="ff0000"/>
          <w:u w:color="ff0000"/>
          <w:rtl w:val="0"/>
          <w:lang w:val="zh-TW" w:eastAsia="zh-TW"/>
        </w:rPr>
        <w:t>年</w:t>
      </w:r>
      <w:r>
        <w:rPr>
          <w:rFonts w:ascii="Times New Roman" w:hAnsi="Times New Roman"/>
          <w:color w:val="ff0000"/>
          <w:u w:color="ff0000"/>
          <w:rtl w:val="0"/>
          <w:lang w:val="zh-CN" w:eastAsia="zh-CN"/>
        </w:rPr>
        <w:t>2</w:t>
      </w:r>
      <w:r>
        <w:rPr>
          <w:rFonts w:ascii="宋体" w:cs="宋体" w:hAnsi="宋体" w:eastAsia="宋体"/>
          <w:color w:val="ff0000"/>
          <w:u w:color="ff0000"/>
          <w:rtl w:val="0"/>
          <w:lang w:val="zh-TW" w:eastAsia="zh-TW"/>
        </w:rPr>
        <w:t>月</w:t>
      </w:r>
      <w:r>
        <w:rPr>
          <w:rFonts w:ascii="宋体" w:cs="宋体" w:hAnsi="宋体" w:eastAsia="宋体"/>
          <w:color w:val="ff0000"/>
          <w:u w:color="ff0000"/>
          <w:rtl w:val="0"/>
          <w:lang w:val="zh-CN" w:eastAsia="zh-CN"/>
        </w:rPr>
        <w:t>30</w:t>
      </w:r>
      <w:r>
        <w:rPr>
          <w:rFonts w:ascii="宋体" w:cs="宋体" w:hAnsi="宋体" w:eastAsia="宋体"/>
          <w:color w:val="ff0000"/>
          <w:u w:color="ff0000"/>
          <w:rtl w:val="0"/>
          <w:lang w:val="zh-TW" w:eastAsia="zh-TW"/>
        </w:rPr>
        <w:t>日前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ff2700"/>
          <w:rtl w:val="0"/>
          <w:lang w:val="zh-CN" w:eastAsia="zh-CN"/>
        </w:rPr>
        <w:t>随论文全文或摘要一起</w:t>
      </w:r>
      <w:r>
        <w:rPr>
          <w:rFonts w:ascii="宋体" w:cs="宋体" w:hAnsi="宋体" w:eastAsia="宋体"/>
          <w:color w:val="ff2700"/>
          <w:u w:color="ff0000"/>
          <w:rtl w:val="0"/>
          <w:lang w:val="zh-TW" w:eastAsia="zh-TW"/>
        </w:rPr>
        <w:t>发送至：</w:t>
      </w:r>
      <w:r>
        <w:rPr>
          <w:rFonts w:ascii="Times New Roman" w:hAnsi="Times New Roman"/>
          <w:color w:val="ff2700"/>
          <w:rtl w:val="0"/>
          <w:lang w:val="zh-CN" w:eastAsia="zh-CN"/>
        </w:rPr>
        <w:t>ssdzyf</w:t>
      </w:r>
      <w:r>
        <w:rPr>
          <w:rFonts w:ascii="宋体" w:cs="宋体" w:hAnsi="宋体" w:eastAsia="宋体"/>
          <w:color w:val="ff0000"/>
          <w:u w:color="ff0000"/>
          <w:rtl w:val="0"/>
          <w:lang w:val="da-DK"/>
        </w:rPr>
        <w:t>@126.com</w:t>
      </w:r>
      <w:r>
        <w:rPr>
          <w:rFonts w:ascii="宋体" w:cs="宋体" w:hAnsi="宋体" w:eastAsia="宋体"/>
          <w:color w:val="ff0000"/>
          <w:u w:color="ff0000"/>
          <w:rtl w:val="0"/>
          <w:lang w:val="zh-TW" w:eastAsia="zh-TW"/>
        </w:rPr>
        <w:t>。</w:t>
      </w:r>
      <w:r>
        <w:rPr>
          <w:color w:val="ff0000"/>
          <w:u w:color="ff0000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